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41" w:rsidRPr="004E2941" w:rsidRDefault="00527EF2" w:rsidP="004E2941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0000FF"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21798E"/>
          <w:sz w:val="36"/>
          <w:szCs w:val="36"/>
        </w:rPr>
        <w:t>Accounts Payable</w:t>
      </w:r>
      <w:r w:rsidR="005109CB">
        <w:rPr>
          <w:rFonts w:ascii="Cambria" w:eastAsia="Times New Roman" w:hAnsi="Cambria" w:cs="Times New Roman"/>
          <w:b/>
          <w:bCs/>
          <w:color w:val="21798E"/>
          <w:sz w:val="36"/>
          <w:szCs w:val="36"/>
        </w:rPr>
        <w:t xml:space="preserve"> Considerations</w:t>
      </w:r>
      <w:bookmarkStart w:id="0" w:name="_GoBack"/>
      <w:bookmarkEnd w:id="0"/>
      <w:r w:rsidR="004E2941" w:rsidRPr="004E2941">
        <w:rPr>
          <w:rFonts w:ascii="Cambria" w:eastAsia="Times New Roman" w:hAnsi="Cambria" w:cs="Times New Roman"/>
          <w:b/>
          <w:bCs/>
          <w:color w:val="21798E"/>
          <w:sz w:val="36"/>
          <w:szCs w:val="36"/>
        </w:rPr>
        <w:t>:</w:t>
      </w:r>
    </w:p>
    <w:p w:rsidR="004E2941" w:rsidRPr="004E2941" w:rsidRDefault="004E2941" w:rsidP="004E2941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:rsidR="004E2941" w:rsidRPr="004E2941" w:rsidRDefault="004E2941" w:rsidP="004E2941">
      <w:pPr>
        <w:widowControl w:val="0"/>
        <w:spacing w:after="0" w:line="240" w:lineRule="auto"/>
        <w:rPr>
          <w:rFonts w:ascii="Arial" w:eastAsia="Times New Roman" w:hAnsi="Arial" w:cs="Arial"/>
          <w:bCs/>
          <w:color w:val="0000FF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FF"/>
          <w:sz w:val="24"/>
          <w:szCs w:val="24"/>
        </w:rPr>
        <w:t xml:space="preserve">Accounts Payable – Received by August 31 – No Invoice received until books are Closed.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After discussions with multiple auditors, one of the areas they felt needed further explanation was in the way we should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handle Accounts Payable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goods and/or services ordered and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received by August 31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but for which,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NO INVOICE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has been received by the time we are ready to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close our books for </w:t>
      </w:r>
      <w:r w:rsidRPr="004E2941">
        <w:rPr>
          <w:rFonts w:ascii="Arial" w:eastAsia="Times New Roman" w:hAnsi="Arial" w:cs="Arial"/>
          <w:b/>
          <w:bCs/>
          <w:color w:val="FF0000"/>
          <w:sz w:val="24"/>
          <w:szCs w:val="24"/>
        </w:rPr>
        <w:t>Fiscal Year 9</w:t>
      </w:r>
      <w:r w:rsidRPr="004E2941">
        <w:rPr>
          <w:rFonts w:ascii="Arial" w:eastAsia="Times New Roman" w:hAnsi="Arial" w:cs="Arial"/>
          <w:bCs/>
          <w:color w:val="FF0000"/>
          <w:sz w:val="24"/>
          <w:szCs w:val="24"/>
        </w:rPr>
        <w:t>.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These payments should be entered into </w:t>
      </w:r>
      <w:r w:rsidRPr="004E2941">
        <w:rPr>
          <w:rFonts w:ascii="Arial" w:eastAsia="Times New Roman" w:hAnsi="Arial" w:cs="Arial"/>
          <w:b/>
          <w:bCs/>
          <w:color w:val="FF0000"/>
          <w:sz w:val="24"/>
          <w:szCs w:val="24"/>
        </w:rPr>
        <w:t>File ID 9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as a PA, </w:t>
      </w:r>
    </w:p>
    <w:p w:rsidR="004E2941" w:rsidRPr="004E2941" w:rsidRDefault="004E2941" w:rsidP="004E2941">
      <w:pPr>
        <w:widowControl w:val="0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Charge the expense to the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 expenditure account (6XXX)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</w:t>
      </w:r>
    </w:p>
    <w:p w:rsidR="004E2941" w:rsidRPr="004E2941" w:rsidRDefault="004E2941" w:rsidP="004E2941">
      <w:pPr>
        <w:widowControl w:val="0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Allowing </w:t>
      </w:r>
      <w:proofErr w:type="spellStart"/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>TxEIS</w:t>
      </w:r>
      <w:proofErr w:type="spellEnd"/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post to the appropriate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liability account (2XXX).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</w:p>
    <w:p w:rsidR="004E2941" w:rsidRPr="004E2941" w:rsidRDefault="004E2941" w:rsidP="004E2941">
      <w:pPr>
        <w:widowControl w:val="0"/>
        <w:spacing w:after="0" w:line="276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ind w:left="720" w:hanging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>This ensures the expenses are shown in the correct fiscal year</w:t>
      </w:r>
      <w:r w:rsidRPr="004E2941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4E2941">
        <w:rPr>
          <w:rFonts w:ascii="Arial" w:eastAsia="Times New Roman" w:hAnsi="Arial" w:cs="Arial"/>
          <w:b/>
          <w:bCs/>
          <w:color w:val="FF0000"/>
          <w:sz w:val="24"/>
          <w:szCs w:val="24"/>
        </w:rPr>
        <w:t>(File ID 9).</w:t>
      </w:r>
      <w:r w:rsidRPr="004E2941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 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However, at this point in the process, </w:t>
      </w:r>
    </w:p>
    <w:p w:rsidR="004E2941" w:rsidRPr="004E2941" w:rsidRDefault="004E2941" w:rsidP="004E2941">
      <w:pPr>
        <w:widowControl w:val="0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We no longer want to actually print checks in </w:t>
      </w:r>
      <w:r w:rsidRPr="004E2941">
        <w:rPr>
          <w:rFonts w:ascii="Arial" w:eastAsia="Times New Roman" w:hAnsi="Arial" w:cs="Arial"/>
          <w:b/>
          <w:bCs/>
          <w:color w:val="FF0000"/>
          <w:sz w:val="24"/>
          <w:szCs w:val="24"/>
        </w:rPr>
        <w:t>File ID 9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p w:rsidR="004E2941" w:rsidRPr="004E2941" w:rsidRDefault="004E2941" w:rsidP="004E2941">
      <w:pPr>
        <w:widowControl w:val="0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We will actually print the check in the </w:t>
      </w:r>
      <w:r w:rsidRPr="004E2941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Current File ID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>, paying from the liability account (2XXX).  Your step-by-step is shown here: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</w:rPr>
        <w:br w:type="page"/>
      </w:r>
      <w:r w:rsidRPr="004E2941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lastRenderedPageBreak/>
        <w:t xml:space="preserve">Scenario: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We ordered some school supplies from Office Depot on </w:t>
      </w:r>
      <w:r w:rsidRPr="004E2941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August 15, 2019</w:t>
      </w:r>
      <w:r w:rsidRPr="004E2941">
        <w:rPr>
          <w:rFonts w:ascii="Arial" w:eastAsia="Times New Roman" w:hAnsi="Arial" w:cs="Arial"/>
          <w:bCs/>
          <w:i/>
          <w:color w:val="FF0000"/>
          <w:sz w:val="24"/>
          <w:szCs w:val="24"/>
        </w:rPr>
        <w:t>.</w:t>
      </w: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FF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The order was received in full on </w:t>
      </w:r>
      <w:r w:rsidRPr="004E2941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August 29, 2019</w:t>
      </w: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, however it is now </w:t>
      </w:r>
      <w:r w:rsidRPr="004E2941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September 15, 2019.</w:t>
      </w:r>
      <w:r w:rsidRPr="004E2941">
        <w:rPr>
          <w:rFonts w:ascii="Arial" w:eastAsia="Times New Roman" w:hAnsi="Arial" w:cs="Arial"/>
          <w:bCs/>
          <w:i/>
          <w:color w:val="FF0000"/>
          <w:sz w:val="24"/>
          <w:szCs w:val="24"/>
        </w:rPr>
        <w:t xml:space="preserve">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We have begun processing all transactions in the new </w:t>
      </w:r>
      <w:r w:rsidRPr="004E2941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File ID C</w:t>
      </w: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.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We received the invoice for the supplies on </w:t>
      </w:r>
      <w:r w:rsidRPr="004E2941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Sept 16, 2019</w:t>
      </w: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, in time to process during our regular AP check run on </w:t>
      </w:r>
      <w:r w:rsidRPr="004E2941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Sept 22, 2019</w:t>
      </w:r>
      <w:r w:rsidRPr="004E2941">
        <w:rPr>
          <w:rFonts w:ascii="Arial" w:eastAsia="Times New Roman" w:hAnsi="Arial" w:cs="Arial"/>
          <w:bCs/>
          <w:i/>
          <w:color w:val="000000"/>
          <w:sz w:val="24"/>
          <w:szCs w:val="24"/>
        </w:rPr>
        <w:t>.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 </w:t>
      </w:r>
      <w:r w:rsidRPr="004E2941">
        <w:rPr>
          <w:rFonts w:ascii="Arial" w:eastAsia="Times New Roman" w:hAnsi="Arial" w:cs="Arial"/>
          <w:b/>
          <w:bCs/>
          <w:color w:val="FF0000"/>
          <w:sz w:val="24"/>
          <w:szCs w:val="24"/>
        </w:rPr>
        <w:t>Finance &gt; File ID 9 &gt; Maintenance &gt; Postings &gt; Check Processing PA tab</w:t>
      </w:r>
      <w:r w:rsidRPr="004E2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add a PA to Office Depot for the amount of the expenses, charged to the appropriate expenditure account(s) and Save.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2941">
        <w:rPr>
          <w:rFonts w:ascii="Calibri" w:eastAsia="Times New Roman" w:hAnsi="Calibri" w:cs="Times New Roman"/>
          <w:noProof/>
        </w:rPr>
        <w:drawing>
          <wp:inline distT="0" distB="0" distL="0" distR="0">
            <wp:extent cx="5720080" cy="2386330"/>
            <wp:effectExtent l="19050" t="19050" r="1397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3863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2941" w:rsidRPr="004E2941" w:rsidRDefault="004E2941" w:rsidP="004E2941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If you scroll to the right, notice the </w:t>
      </w:r>
      <w:r w:rsidRPr="004E2941">
        <w:rPr>
          <w:rFonts w:ascii="Arial" w:eastAsia="Times New Roman" w:hAnsi="Arial" w:cs="Arial"/>
          <w:b/>
          <w:noProof/>
          <w:sz w:val="24"/>
          <w:szCs w:val="24"/>
        </w:rPr>
        <w:t>Contra Account.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 This </w:t>
      </w:r>
      <w:r w:rsidRPr="004E2941">
        <w:rPr>
          <w:rFonts w:ascii="Arial" w:eastAsia="Times New Roman" w:hAnsi="Arial" w:cs="Arial"/>
          <w:b/>
          <w:noProof/>
          <w:sz w:val="24"/>
          <w:szCs w:val="24"/>
        </w:rPr>
        <w:t>credits the liability account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for us.  Note the PA number upon saving.  It is a good practice </w:t>
      </w:r>
      <w:r w:rsidRPr="004E2941">
        <w:rPr>
          <w:rFonts w:ascii="Arial" w:eastAsia="Times New Roman" w:hAnsi="Arial" w:cs="Arial"/>
          <w:b/>
          <w:noProof/>
          <w:sz w:val="24"/>
          <w:szCs w:val="24"/>
        </w:rPr>
        <w:t xml:space="preserve">to reference this number when we actually print the check in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 C</w:t>
      </w:r>
      <w:r w:rsidRPr="004E2941">
        <w:rPr>
          <w:rFonts w:ascii="Arial" w:eastAsia="Times New Roman" w:hAnsi="Arial" w:cs="Arial"/>
          <w:b/>
          <w:noProof/>
          <w:sz w:val="24"/>
          <w:szCs w:val="24"/>
        </w:rPr>
        <w:t>.</w:t>
      </w:r>
    </w:p>
    <w:p w:rsidR="004E2941" w:rsidRPr="004E2941" w:rsidRDefault="004E2941" w:rsidP="004E2941">
      <w:pPr>
        <w:widowControl w:val="0"/>
        <w:spacing w:after="0" w:line="240" w:lineRule="auto"/>
        <w:rPr>
          <w:rFonts w:ascii="Calibri" w:eastAsia="Times New Roman" w:hAnsi="Calibri" w:cs="Times New Roman"/>
          <w:noProof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When we roll balances for our balance sheet accounts in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 9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to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 C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(or receive opening entries from our auditors), this amount will be included in the liability account.  </w:t>
      </w: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b/>
          <w:noProof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sz w:val="24"/>
          <w:szCs w:val="24"/>
        </w:rPr>
        <w:lastRenderedPageBreak/>
        <w:t xml:space="preserve">When the invoice is received and we are ready to pay, log into </w:t>
      </w:r>
    </w:p>
    <w:p w:rsidR="004E2941" w:rsidRPr="004E2941" w:rsidRDefault="004E2941" w:rsidP="004E2941">
      <w:pPr>
        <w:widowControl w:val="0"/>
        <w:tabs>
          <w:tab w:val="left" w:pos="810"/>
        </w:tabs>
        <w:spacing w:after="0" w:line="276" w:lineRule="auto"/>
        <w:ind w:left="720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Finance &gt; File ID C &gt; Maintenance &gt; Postings &gt; Check Processing PA tab</w:t>
      </w:r>
    </w:p>
    <w:p w:rsidR="004E2941" w:rsidRPr="004E2941" w:rsidRDefault="004E2941" w:rsidP="004E2941">
      <w:pPr>
        <w:widowControl w:val="0"/>
        <w:spacing w:after="0" w:line="276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numPr>
          <w:ilvl w:val="0"/>
          <w:numId w:val="2"/>
        </w:numPr>
        <w:spacing w:after="0" w:line="276" w:lineRule="auto"/>
        <w:ind w:left="1260" w:hanging="270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Add a PA for Office Depot.  </w:t>
      </w:r>
    </w:p>
    <w:p w:rsidR="004E2941" w:rsidRPr="004E2941" w:rsidRDefault="004E2941" w:rsidP="004E2941">
      <w:pPr>
        <w:widowControl w:val="0"/>
        <w:numPr>
          <w:ilvl w:val="0"/>
          <w:numId w:val="2"/>
        </w:numPr>
        <w:spacing w:after="0" w:line="276" w:lineRule="auto"/>
        <w:ind w:left="1260" w:hanging="270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Charge this to the liability account code in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Fiscal Year 0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and reference the PA # from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 9.</w:t>
      </w: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 </w:t>
      </w:r>
    </w:p>
    <w:p w:rsidR="004E2941" w:rsidRPr="004E2941" w:rsidRDefault="004E2941" w:rsidP="004E2941">
      <w:pPr>
        <w:widowControl w:val="0"/>
        <w:numPr>
          <w:ilvl w:val="0"/>
          <w:numId w:val="2"/>
        </w:numPr>
        <w:spacing w:after="0" w:line="276" w:lineRule="auto"/>
        <w:ind w:left="1260" w:hanging="270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>Save and process the check as usual.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Calibri" w:eastAsia="Times New Roman" w:hAnsi="Calibri" w:cs="Times New Roman"/>
          <w:noProof/>
        </w:rPr>
        <w:drawing>
          <wp:inline distT="0" distB="0" distL="0" distR="0">
            <wp:extent cx="5715000" cy="23050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05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Note:  </w:t>
      </w:r>
    </w:p>
    <w:p w:rsidR="004E2941" w:rsidRPr="004E2941" w:rsidRDefault="004E2941" w:rsidP="004E2941">
      <w:pPr>
        <w:widowControl w:val="0"/>
        <w:numPr>
          <w:ilvl w:val="0"/>
          <w:numId w:val="3"/>
        </w:numPr>
        <w:spacing w:after="0" w:line="276" w:lineRule="auto"/>
        <w:ind w:left="990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>You may use a different liability account to set these expenditures apart. Some districts chose to use a sub-object for this. (199-00-2110.01-000-0-00000)</w:t>
      </w:r>
    </w:p>
    <w:p w:rsidR="004E2941" w:rsidRPr="004E2941" w:rsidRDefault="004E2941" w:rsidP="004E2941">
      <w:pPr>
        <w:widowControl w:val="0"/>
        <w:spacing w:after="0" w:line="276" w:lineRule="auto"/>
        <w:ind w:left="990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>TxEIS automatically uses the liability options.</w:t>
      </w:r>
    </w:p>
    <w:p w:rsidR="004E2941" w:rsidRPr="004E2941" w:rsidRDefault="004E2941" w:rsidP="004E2941">
      <w:pPr>
        <w:widowControl w:val="0"/>
        <w:spacing w:after="0" w:line="276" w:lineRule="auto"/>
        <w:ind w:left="990"/>
        <w:rPr>
          <w:rFonts w:ascii="Arial" w:eastAsia="Times New Roman" w:hAnsi="Arial" w:cs="Arial"/>
          <w:noProof/>
          <w:sz w:val="24"/>
          <w:szCs w:val="24"/>
        </w:rPr>
      </w:pPr>
      <w:r w:rsidRPr="004E2941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4E2941" w:rsidRPr="004E2941" w:rsidRDefault="004E2941" w:rsidP="004E2941">
      <w:pPr>
        <w:widowControl w:val="0"/>
        <w:spacing w:after="0" w:line="276" w:lineRule="auto"/>
        <w:ind w:left="990" w:hanging="1080"/>
        <w:jc w:val="center"/>
        <w:rPr>
          <w:rFonts w:ascii="Arial" w:eastAsia="Times New Roman" w:hAnsi="Arial" w:cs="Arial"/>
          <w:b/>
          <w:noProof/>
          <w:color w:val="FF000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Tables &gt; District Finance Options &gt; Clearing fund Maintenance tab.</w:t>
      </w:r>
    </w:p>
    <w:p w:rsidR="004E2941" w:rsidRPr="004E2941" w:rsidRDefault="004E2941" w:rsidP="004E2941">
      <w:pPr>
        <w:widowControl w:val="0"/>
        <w:spacing w:after="0" w:line="276" w:lineRule="auto"/>
        <w:ind w:left="990" w:hanging="1080"/>
        <w:jc w:val="center"/>
        <w:rPr>
          <w:rFonts w:ascii="Arial" w:eastAsia="Times New Roman" w:hAnsi="Arial" w:cs="Arial"/>
          <w:b/>
          <w:noProof/>
          <w:color w:val="FF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ind w:left="990" w:hanging="1080"/>
        <w:jc w:val="center"/>
        <w:rPr>
          <w:rFonts w:ascii="Arial" w:eastAsia="Times New Roman" w:hAnsi="Arial" w:cs="Arial"/>
          <w:b/>
          <w:noProof/>
          <w:color w:val="FF0000"/>
          <w:sz w:val="24"/>
          <w:szCs w:val="24"/>
        </w:rPr>
      </w:pPr>
      <w:r w:rsidRPr="004E2941">
        <w:rPr>
          <w:rFonts w:ascii="Calibri" w:eastAsia="Times New Roman" w:hAnsi="Calibri" w:cs="Times New Roman"/>
          <w:noProof/>
        </w:rPr>
        <w:drawing>
          <wp:inline distT="0" distB="0" distL="0" distR="0">
            <wp:extent cx="5715000" cy="19577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77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2941" w:rsidRPr="004E2941" w:rsidRDefault="004E2941" w:rsidP="004E2941">
      <w:pPr>
        <w:widowControl w:val="0"/>
        <w:spacing w:after="0" w:line="276" w:lineRule="auto"/>
        <w:ind w:left="990" w:hanging="720"/>
        <w:rPr>
          <w:rFonts w:ascii="Arial" w:eastAsia="Times New Roman" w:hAnsi="Arial" w:cs="Arial"/>
          <w:noProof/>
          <w:color w:val="FF0000"/>
          <w:sz w:val="24"/>
          <w:szCs w:val="24"/>
        </w:rPr>
      </w:pPr>
    </w:p>
    <w:p w:rsidR="004E2941" w:rsidRPr="004E2941" w:rsidRDefault="004E2941" w:rsidP="004E2941">
      <w:pPr>
        <w:widowControl w:val="0"/>
        <w:spacing w:after="0" w:line="276" w:lineRule="auto"/>
        <w:ind w:left="990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To utilize a subobject, change here and save. </w:t>
      </w: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  <w:u w:val="single"/>
        </w:rPr>
        <w:t>You must be completely finished with all check runs in the old File ID</w:t>
      </w: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 however, so these expenses are kept separate from those that processed duing the year.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</w:p>
    <w:p w:rsidR="004E2941" w:rsidRPr="004E2941" w:rsidRDefault="004E2941" w:rsidP="004E2941">
      <w:pPr>
        <w:widowControl w:val="0"/>
        <w:numPr>
          <w:ilvl w:val="0"/>
          <w:numId w:val="3"/>
        </w:numPr>
        <w:spacing w:after="0" w:line="276" w:lineRule="auto"/>
        <w:ind w:left="1080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Your auditor may prefer you use a date of September 1 to further ease identification. </w:t>
      </w:r>
    </w:p>
    <w:p w:rsidR="004E2941" w:rsidRPr="004E2941" w:rsidRDefault="004E2941" w:rsidP="004E2941">
      <w:pPr>
        <w:widowControl w:val="0"/>
        <w:spacing w:after="0" w:line="276" w:lineRule="auto"/>
        <w:rPr>
          <w:rFonts w:ascii="Arial" w:eastAsia="Times New Roman" w:hAnsi="Arial" w:cs="Arial"/>
          <w:b/>
          <w:noProof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 </w:t>
      </w:r>
    </w:p>
    <w:p w:rsidR="004E2941" w:rsidRPr="004E2941" w:rsidRDefault="004E2941" w:rsidP="004E2941">
      <w:pPr>
        <w:widowControl w:val="0"/>
        <w:spacing w:after="0" w:line="276" w:lineRule="auto"/>
        <w:ind w:left="1080" w:hanging="1080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Note:  It is important that you add all necessary PAs in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</w:t>
      </w: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9 BEFORE</w:t>
      </w: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 you send your file to your auditor.  If you enter another check that should be charged to expenses in </w:t>
      </w:r>
      <w:r w:rsidRPr="004E2941">
        <w:rPr>
          <w:rFonts w:ascii="Arial" w:eastAsia="Times New Roman" w:hAnsi="Arial" w:cs="Arial"/>
          <w:b/>
          <w:noProof/>
          <w:color w:val="FF0000"/>
          <w:sz w:val="24"/>
          <w:szCs w:val="24"/>
        </w:rPr>
        <w:t>File ID 9</w:t>
      </w:r>
      <w:r w:rsidRPr="004E2941">
        <w:rPr>
          <w:rFonts w:ascii="Arial" w:eastAsia="Times New Roman" w:hAnsi="Arial" w:cs="Arial"/>
          <w:b/>
          <w:noProof/>
          <w:color w:val="7030A0"/>
          <w:sz w:val="24"/>
          <w:szCs w:val="24"/>
        </w:rPr>
        <w:t xml:space="preserve"> after giving the file to your auditor, contact them immediately.  They will likely require a new file from you and this may delay your audit.</w:t>
      </w:r>
    </w:p>
    <w:p w:rsidR="003C5B8A" w:rsidRDefault="003C5B8A"/>
    <w:sectPr w:rsidR="003C5B8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65" w:rsidRDefault="00C53A65" w:rsidP="00C53A65">
      <w:pPr>
        <w:spacing w:after="0" w:line="240" w:lineRule="auto"/>
      </w:pPr>
      <w:r>
        <w:separator/>
      </w:r>
    </w:p>
  </w:endnote>
  <w:endnote w:type="continuationSeparator" w:id="0">
    <w:p w:rsidR="00C53A65" w:rsidRDefault="00C53A65" w:rsidP="00C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5" w:rsidRDefault="00C53A65">
    <w:pPr>
      <w:pStyle w:val="Footer"/>
    </w:pPr>
    <w:r>
      <w:t xml:space="preserve">Additional Consideration for </w:t>
    </w:r>
  </w:p>
  <w:p w:rsidR="00C53A65" w:rsidRDefault="00C53A65">
    <w:pPr>
      <w:pStyle w:val="Footer"/>
    </w:pPr>
    <w:r>
      <w:t>Accounts Payable</w:t>
    </w:r>
    <w:r>
      <w:ptab w:relativeTo="margin" w:alignment="center" w:leader="none"/>
    </w:r>
    <w:r>
      <w:t>Updated July 2019</w:t>
    </w:r>
    <w:r>
      <w:ptab w:relativeTo="margin" w:alignment="right" w:leader="none"/>
    </w:r>
    <w:r w:rsidRPr="00C53A65">
      <w:rPr>
        <w:color w:val="7F7F7F" w:themeColor="background1" w:themeShade="7F"/>
        <w:spacing w:val="60"/>
      </w:rPr>
      <w:t xml:space="preserve"> </w:t>
    </w:r>
    <w:r w:rsidRPr="00C53A65">
      <w:rPr>
        <w:b/>
        <w:bCs/>
        <w:color w:val="7F7F7F" w:themeColor="background1" w:themeShade="7F"/>
        <w:spacing w:val="60"/>
      </w:rPr>
      <w:fldChar w:fldCharType="begin"/>
    </w:r>
    <w:r w:rsidRPr="00C53A65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C53A65">
      <w:rPr>
        <w:b/>
        <w:bCs/>
        <w:color w:val="7F7F7F" w:themeColor="background1" w:themeShade="7F"/>
        <w:spacing w:val="60"/>
      </w:rPr>
      <w:fldChar w:fldCharType="separate"/>
    </w:r>
    <w:r>
      <w:rPr>
        <w:b/>
        <w:bCs/>
        <w:noProof/>
        <w:color w:val="7F7F7F" w:themeColor="background1" w:themeShade="7F"/>
        <w:spacing w:val="60"/>
      </w:rPr>
      <w:t>4</w:t>
    </w:r>
    <w:r w:rsidRPr="00C53A65">
      <w:rPr>
        <w:b/>
        <w:bCs/>
        <w:color w:val="7F7F7F" w:themeColor="background1" w:themeShade="7F"/>
        <w:spacing w:val="60"/>
      </w:rPr>
      <w:fldChar w:fldCharType="end"/>
    </w:r>
    <w:r w:rsidRPr="00C53A65">
      <w:rPr>
        <w:color w:val="7F7F7F" w:themeColor="background1" w:themeShade="7F"/>
        <w:spacing w:val="60"/>
      </w:rPr>
      <w:t xml:space="preserve"> of </w:t>
    </w:r>
    <w:r w:rsidRPr="00C53A65">
      <w:rPr>
        <w:b/>
        <w:bCs/>
        <w:color w:val="7F7F7F" w:themeColor="background1" w:themeShade="7F"/>
        <w:spacing w:val="60"/>
      </w:rPr>
      <w:fldChar w:fldCharType="begin"/>
    </w:r>
    <w:r w:rsidRPr="00C53A65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C53A65">
      <w:rPr>
        <w:b/>
        <w:bCs/>
        <w:color w:val="7F7F7F" w:themeColor="background1" w:themeShade="7F"/>
        <w:spacing w:val="60"/>
      </w:rPr>
      <w:fldChar w:fldCharType="separate"/>
    </w:r>
    <w:r>
      <w:rPr>
        <w:b/>
        <w:bCs/>
        <w:noProof/>
        <w:color w:val="7F7F7F" w:themeColor="background1" w:themeShade="7F"/>
        <w:spacing w:val="60"/>
      </w:rPr>
      <w:t>4</w:t>
    </w:r>
    <w:r w:rsidRPr="00C53A65">
      <w:rPr>
        <w:b/>
        <w:bCs/>
        <w:color w:val="7F7F7F" w:themeColor="background1" w:themeShade="7F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65" w:rsidRDefault="00C53A65" w:rsidP="00C53A65">
      <w:pPr>
        <w:spacing w:after="0" w:line="240" w:lineRule="auto"/>
      </w:pPr>
      <w:r>
        <w:separator/>
      </w:r>
    </w:p>
  </w:footnote>
  <w:footnote w:type="continuationSeparator" w:id="0">
    <w:p w:rsidR="00C53A65" w:rsidRDefault="00C53A65" w:rsidP="00C5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071"/>
    <w:multiLevelType w:val="hybridMultilevel"/>
    <w:tmpl w:val="F7C83DF0"/>
    <w:lvl w:ilvl="0" w:tplc="8976E284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6474"/>
    <w:multiLevelType w:val="hybridMultilevel"/>
    <w:tmpl w:val="042A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00A"/>
    <w:multiLevelType w:val="hybridMultilevel"/>
    <w:tmpl w:val="D468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41"/>
    <w:rsid w:val="003C5B8A"/>
    <w:rsid w:val="004E2941"/>
    <w:rsid w:val="005109CB"/>
    <w:rsid w:val="00527EF2"/>
    <w:rsid w:val="00C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40FB"/>
  <w15:chartTrackingRefBased/>
  <w15:docId w15:val="{41C88C84-F4DB-49E8-9D5B-B67D8D1A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65"/>
  </w:style>
  <w:style w:type="paragraph" w:styleId="Footer">
    <w:name w:val="footer"/>
    <w:basedOn w:val="Normal"/>
    <w:link w:val="FooterChar"/>
    <w:uiPriority w:val="99"/>
    <w:unhideWhenUsed/>
    <w:rsid w:val="00C5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Lana Walls</cp:lastModifiedBy>
  <cp:revision>5</cp:revision>
  <dcterms:created xsi:type="dcterms:W3CDTF">2019-07-31T19:10:00Z</dcterms:created>
  <dcterms:modified xsi:type="dcterms:W3CDTF">2019-08-05T13:50:00Z</dcterms:modified>
</cp:coreProperties>
</file>